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D6A7" w14:textId="77777777" w:rsidR="008379F5" w:rsidRPr="00B153C6" w:rsidRDefault="0044254E" w:rsidP="00B153C6">
      <w:pPr>
        <w:spacing w:before="200" w:after="40" w:line="360" w:lineRule="auto"/>
        <w:jc w:val="center"/>
        <w:rPr>
          <w:sz w:val="24"/>
          <w:szCs w:val="24"/>
        </w:rPr>
      </w:pPr>
      <w:r>
        <w:rPr>
          <w:b/>
          <w:bCs/>
          <w:color w:val="1F3864"/>
          <w:sz w:val="24"/>
          <w:szCs w:val="24"/>
        </w:rPr>
        <w:t>ESTUDO TÉCNICO PRELIMINAR — ETP</w:t>
      </w:r>
    </w:p>
    <w:p w14:paraId="1904A88D" w14:textId="77777777" w:rsidR="008379F5" w:rsidRPr="00B153C6" w:rsidRDefault="0044254E" w:rsidP="00B153C6">
      <w:pPr>
        <w:spacing w:after="240"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Reforma da Unidade Básica de Saúde Dr. Cleomar Borges de Oliveira</w:t>
      </w:r>
    </w:p>
    <w:p w14:paraId="62C2E191" w14:textId="77777777" w:rsidR="008379F5" w:rsidRPr="00B153C6" w:rsidRDefault="0044254E" w:rsidP="00B153C6">
      <w:pPr>
        <w:spacing w:after="20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Estudo Técnico Preliminar elaborado nos termos do art. 18, §1º, e do art. 6º, inciso XX, da Lei nº 14.133/2021, com o objetivo de assegurar a viabilidade técnica e econômica da contratação e embasar a elaboração do Termo de Referência / Projeto Básico.</w:t>
      </w:r>
    </w:p>
    <w:p w14:paraId="6954684A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1 - Descrição da necessidade da contratação, considerado o problema a ser resolvido sob a perspectiva do interesse público</w:t>
      </w:r>
    </w:p>
    <w:p w14:paraId="6631DF4F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presente contratação tem por necessidade a recuperação física e funcional da Unidade Básica de Saúde Dr. Cleomar Borges de Oliveira (CNES nº 2745631), equipamento público de atenção primária do Município de Rifaina, que apresenta patologias construtivas — degradação de revestimentos, infiltrações, deficiência de drenagem pluvial e ausência de rampa de acesso de ambulâncias — comprometedoras das condições de salubridade, segurança e continuidade do atendimento à população usuária do SUS.</w:t>
      </w:r>
    </w:p>
    <w:p w14:paraId="01B2C3D1" w14:textId="77777777" w:rsidR="008379F5" w:rsidRDefault="0044254E" w:rsidP="00B153C6">
      <w:pPr>
        <w:pStyle w:val="Ttulo1"/>
        <w:spacing w:line="360" w:lineRule="auto"/>
      </w:pPr>
      <w:r>
        <w:rPr>
          <w:sz w:val="24"/>
          <w:szCs w:val="24"/>
        </w:rPr>
        <w:t>2 - Demonstração da previsão da contratação no plano de contratações anual, sempre que elaborado, de modo a indicar o seu alinhamento com o planejamento da Administração</w:t>
      </w:r>
    </w:p>
    <w:p w14:paraId="01B2C3D2" w14:textId="77777777" w:rsidR="008379F5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presente contratação está prevista no Plano de Contratações Anual (PCA) do Município de Rifaina para o exercício de 2026, sob o item nº 6330, estando alinhada às metas do Plano Plurianual (PPA), da Lei de Diretrizes Orçamentárias (LDO) e da Lei Orçamentária Anual (LOA) vigentes, e às diretrizes do Programa Requalifica UBS do Ministério da Saúde, que fundamenta a emenda parlamentar que financia a obra.</w:t>
      </w:r>
    </w:p>
    <w:p w14:paraId="2250C047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3 - Requisitos da contratação</w:t>
      </w:r>
    </w:p>
    <w:p w14:paraId="0EED30D3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 contratada deverá atender, no mínimo, aos seguintes requisitos:</w:t>
      </w:r>
    </w:p>
    <w:p w14:paraId="3C76B7A3" w14:textId="77777777" w:rsidR="008379F5" w:rsidRPr="00B153C6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Registro e regularidade junto ao Conselho Regional de Engenharia e Agronomia (CREA), Conselho de Arquitetura e Urbanismo (CAU) ou Conselho Regional dos Técnicos Industriais (CRT), conforme a habilitação do responsável técnico;</w:t>
      </w:r>
    </w:p>
    <w:p w14:paraId="316FCFC4" w14:textId="77777777" w:rsidR="008379F5" w:rsidRPr="00B153C6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Indicação de responsável técnico habilitado, com registro de Anotação de Responsabilidade Técnica (ART), Registro de Responsabilidade Técnica (RRT) ou Termo de Responsabilidade Técnica (TRT) pela execução da obra;</w:t>
      </w:r>
    </w:p>
    <w:p w14:paraId="29826D18" w14:textId="77777777" w:rsidR="008379F5" w:rsidRPr="00B153C6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Comprovação de aptidão técnico-operacional e técnico-profissional para execução de obra/serviço de engenharia de características compatíveis com o objeto;</w:t>
      </w:r>
    </w:p>
    <w:p w14:paraId="0B9FF1DC" w14:textId="77777777" w:rsidR="008379F5" w:rsidRPr="00B153C6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Emprego de materiais e técnicas executivas em conformidade com as normas técnicas da ABNT aplicáveis;</w:t>
      </w:r>
    </w:p>
    <w:p w14:paraId="120E4AFC" w14:textId="77777777" w:rsidR="008379F5" w:rsidRPr="00B153C6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Observância às normas de acessibilidade (NBR 9050), de segurança e de saúde do trabalho aplicáveis à execução de obras.</w:t>
      </w:r>
    </w:p>
    <w:p w14:paraId="4283B7E1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4 - Estimativas das quantidades para a contratação, acompanhadas das memórias de cálculo e dos documentos que lhes dão suporte, que considerem interdependências com outras contratações, de modo a possibilitar economia de escala</w:t>
      </w:r>
    </w:p>
    <w:p w14:paraId="5232077B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As quantidades foram dimensionadas com base no projeto básico, no memorial de cálculo e nos quantitativos levantados para a edificação, cuja área de intervenção é de 976,33 m². A estimativa de valor foi obtida mediante orçamento sintético elaborado com referência nas tabelas oficiais SINAPI (04/2026-SP) e CPOS/CDHU (04/2026-SP), aplicando-se BDI de 21,15%, conforme demonstrado: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8379F5" w:rsidRPr="00B153C6" w14:paraId="78B1CCB3" w14:textId="77777777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6455E43B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Custo direto (sem BDI)</w:t>
            </w:r>
          </w:p>
        </w:tc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4E219083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R$ 347.069,34</w:t>
            </w:r>
          </w:p>
        </w:tc>
      </w:tr>
      <w:tr w:rsidR="008379F5" w:rsidRPr="00B153C6" w14:paraId="24525811" w14:textId="77777777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5806EA6F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BDI (21,15%)</w:t>
            </w:r>
          </w:p>
        </w:tc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1C5C8476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R$ 73.371,68</w:t>
            </w:r>
          </w:p>
        </w:tc>
      </w:tr>
      <w:tr w:rsidR="008379F5" w:rsidRPr="00B153C6" w14:paraId="75A0DFFB" w14:textId="77777777"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06095CAC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Valor total estimado</w:t>
            </w:r>
          </w:p>
        </w:tc>
        <w:tc>
          <w:tcPr>
            <w:tcW w:w="468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3034D374" w14:textId="77777777" w:rsidR="008379F5" w:rsidRPr="00B153C6" w:rsidRDefault="0044254E" w:rsidP="00B153C6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R$ 420.441,02</w:t>
            </w:r>
          </w:p>
        </w:tc>
      </w:tr>
    </w:tbl>
    <w:p w14:paraId="37BD8E08" w14:textId="77777777" w:rsidR="008379F5" w:rsidRPr="00B153C6" w:rsidRDefault="008379F5" w:rsidP="00B153C6">
      <w:pPr>
        <w:spacing w:after="60" w:line="360" w:lineRule="auto"/>
        <w:jc w:val="both"/>
        <w:rPr>
          <w:sz w:val="24"/>
          <w:szCs w:val="24"/>
        </w:rPr>
      </w:pPr>
    </w:p>
    <w:p w14:paraId="7DFE8778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As principais etapas da obra e sua representatividade no valor total são: Revestimento (37,44%); Demolições e Preparo (19,75%); Drenagem Pluvial (19,49%); </w:t>
      </w:r>
      <w:r>
        <w:rPr>
          <w:sz w:val="24"/>
          <w:szCs w:val="24"/>
        </w:rPr>
        <w:lastRenderedPageBreak/>
        <w:t>Preparação/Remoção de Infiltração e Pintura (10,38%); demais etapas — serviços preliminares, rampa de acesso de ambulâncias, manutenção de portas, gesso, calha e serviços finais (12,94%).</w:t>
      </w:r>
    </w:p>
    <w:p w14:paraId="495F52A7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5 - Levantamento de mercado, que consiste na análise das alternativas possíveis, e justificativa técnica e econômica da escolha do tipo de solução a contratar</w:t>
      </w:r>
    </w:p>
    <w:p w14:paraId="68F2B7D8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Diante da natureza do objeto — reforma de edificação pública de saúde com escopo definido em projeto e planilha orçamentária —, a solução tecnicamente adequada é a contratação de empresa de engenharia para execução indireta da obra, sob regime de empreitada por preço global. Não há solução alternativa que substitua a intervenção física na edificação existente. A execução direta pela Administração é inviável por ausência de corpo técnico e operacional próprio dimensionado para a obra. A locação ou aquisição de imóvel alternativo não atende à finalidade, por se tratar de unidade de saúde já implantada, vinculada à rede e ao cadastro CNES.</w:t>
      </w:r>
    </w:p>
    <w:p w14:paraId="01B2C3D3" w14:textId="77777777" w:rsidR="008379F5" w:rsidRDefault="0044254E" w:rsidP="00B153C6">
      <w:pPr>
        <w:pStyle w:val="Ttulo1"/>
        <w:spacing w:line="360" w:lineRule="auto"/>
      </w:pPr>
      <w:r>
        <w:rPr>
          <w:sz w:val="24"/>
          <w:szCs w:val="24"/>
        </w:rPr>
        <w:t>6 - Estimativa do valor da contratação, acompanhada dos preços unitários referenciais, das memórias de cálculo e dos documentos que lhe dão suporte, que poderão constar de anexo classificado, se a Administração optar por preservar o seu sigilo até a conclusão da licitação</w:t>
      </w:r>
    </w:p>
    <w:p w14:paraId="01B2C3D4" w14:textId="77777777" w:rsidR="008379F5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Vide item 4 acima e planilha orçamentária anexa. Valor total estimado: R$ 420.441,02, composto por custo direto de R$ 347.069,34 e BDI de 21,15% (R$ 73.371,68), com base nas tabelas SINAPI 04/2026-SP e CPOS/CDHU 04/2026-SP. Preços unitários referenciais constam da planilha orçamentária e memória de cálculo que integram o processo.</w:t>
      </w:r>
    </w:p>
    <w:p w14:paraId="01B2C3D5" w14:textId="77777777" w:rsidR="008379F5" w:rsidRDefault="0044254E" w:rsidP="00B153C6">
      <w:pPr>
        <w:pStyle w:val="Ttulo1"/>
        <w:spacing w:line="360" w:lineRule="auto"/>
      </w:pPr>
      <w:r>
        <w:rPr>
          <w:sz w:val="24"/>
          <w:szCs w:val="24"/>
        </w:rPr>
        <w:t>7 - Descrição da solução como um todo, inclusive das exigências relacionadas à manutenção e à assistência técnica, quando for o caso</w:t>
      </w:r>
    </w:p>
    <w:p w14:paraId="01B2C3D6" w14:textId="77777777" w:rsidR="008379F5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solução consiste na reforma completa da UBS Dr. Cleomar Borges de Oliveira (976,33 m²), englobando: demolições e preparo; revestimento cerâmico em paredes internas; drenagem pluvial; rampa de acesso de ambu’ncias; tratamento de infiltrações e pintura; </w:t>
      </w:r>
      <w:r>
        <w:rPr>
          <w:sz w:val="24"/>
          <w:szCs w:val="24"/>
        </w:rPr>
        <w:lastRenderedPageBreak/>
        <w:t>manutenção e troca de portas; gesso; calha e rufos; e limpeza final. A execução será realizada por empresa de engenharia sob regime de empreitada por preço global, em prazo de 120 dias. Não há exigências de manutenção ou assistência técnica pós-obra além da garantia legal de 5 anos (art. 618 do Código Civil).</w:t>
      </w:r>
    </w:p>
    <w:p w14:paraId="289FFA23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8 - Justificativas para o parcelamento ou não da contratação</w:t>
      </w:r>
    </w:p>
    <w:p w14:paraId="1C4BC7CA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Não se mostra técnica nem economicamente recomendável o parcelamento do objeto. As etapas da reforma são interdependentes e sequenciais — demolições, drenagem, revestimentos e acabamentos guardam relação de precedência e continuidade —, de modo que a divisão em contratos autônomos comprometeria a coordenação técnica, a garantia da obra e a responsabilidade única pela execução, além de elevar custos de mobilização. Mantém-se, portanto, o objeto único, executado por uma só empresa, preservando-se a economia de escala e a unidade da responsabilidade técnica.</w:t>
      </w:r>
    </w:p>
    <w:p w14:paraId="223C5744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9 - Demonstrativo dos resultados pretendidos em termos de economicidade e de melhor aproveitamento dos recursos humanos, materiais e financeiros disponíveis</w:t>
      </w:r>
    </w:p>
    <w:p w14:paraId="7FEC9F18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Pretende-se restabelecer plenamente as condições físicas e funcionais da UBS Dr. Cleomar Borges de Oliveira, eliminando infiltrações e patologias, qualificando os ambientes de atendimento, assegurando a drenagem adequada e o acesso de ambulâncias, e elevando os padrões de salubridade, acessibilidade e segurança, em benefício direto da população atendida e em conformidade com as diretrizes do Programa Requalifica UBS.</w:t>
      </w:r>
    </w:p>
    <w:p w14:paraId="33A0624B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10 - Providências a serem adotadas pela Administração previamente à celebração do contrato, inclusive quanto à capacitação de servidores ou de empregados para fiscalização e gestão contratual</w:t>
      </w:r>
    </w:p>
    <w:p w14:paraId="2AE7936A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Para a execução do objeto deverão estar disponíveis: projeto básico aprovado, planilha orçamentária, cronograma físico-financeiro e memorial de cálculo; dotação orçamentária </w:t>
      </w:r>
      <w:r>
        <w:rPr>
          <w:sz w:val="24"/>
          <w:szCs w:val="24"/>
        </w:rPr>
        <w:lastRenderedPageBreak/>
        <w:t>assegurada, incluindo a contrapartida municipal; e disponibilidade da edificação para início dos serviços, com a devida compatibilização do atendimento durante a obra.</w:t>
      </w:r>
    </w:p>
    <w:p w14:paraId="110F1DE1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11 - Contratações correlatas e/ou interdependentes</w:t>
      </w:r>
    </w:p>
    <w:p w14:paraId="0BFA0873" w14:textId="77777777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Não há, no presente caso, contratações correlatas ou interdependentes necessárias à viabilização do objeto.</w:t>
      </w:r>
    </w:p>
    <w:p w14:paraId="1222D0BD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12 - Descrição de possíveis impactos ambientais e respectivas medidas mitigadoras, incluídos requisitos de baixo consumo de energia e de outros recursos, bem como logística reversa para desfazimento e reciclagem de bens e refugos, quando aplicável</w:t>
      </w:r>
    </w:p>
    <w:p w14:paraId="5CAE9589" w14:textId="77777777" w:rsidR="008379F5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Os impactos ambientais restringem-se à geração de resíduos da construção civil (Classe A), cuja remoção, transporte e destinação final ambientalmente adequada são contemplados na planilha orçamentária e deverão observar a Resolução CONAMA nº 307/2002 e a legislação correlata, sendo de responsabilidade da contratada.</w:t>
      </w:r>
    </w:p>
    <w:p w14:paraId="4451EBA4" w14:textId="77777777" w:rsidR="00C144F6" w:rsidRPr="00B153C6" w:rsidRDefault="00C144F6" w:rsidP="00B153C6">
      <w:pPr>
        <w:spacing w:after="120" w:line="360" w:lineRule="auto"/>
        <w:jc w:val="both"/>
        <w:rPr>
          <w:sz w:val="24"/>
          <w:szCs w:val="24"/>
        </w:rPr>
      </w:pPr>
    </w:p>
    <w:p w14:paraId="535800A9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13 - Posicionamento conclusivo sobre a adequação da contratação para o atendimento da necessidade a que se destina</w:t>
      </w:r>
    </w:p>
    <w:p w14:paraId="721E3B51" w14:textId="4DFEAD6C" w:rsidR="008379F5" w:rsidRPr="00A1356A" w:rsidRDefault="00A1356A" w:rsidP="00B153C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Diante do exposto, conclui-se pela viabilidade técnica e econômica da contratação, sendo a solução proposta — execução indireta da reforma, em regime de empreitada por preço unitário, mediante licitação na modalidade Concorrência Eletrônica pelo critério de julgamento por Menor Preço Global — a mais adequada ao atendimento da necessidade pública identificada, observados os princípios da economicidade, da eficiência e do interesse público. A modelagem em lote único garante a economia de escala, a unidade da responsabilidade técnica e a perfeita coordenação entre as etapas interdependentes da obra, mitigando riscos executivos. Recomenda-se o prosseguimento do feito com a elaboração do Termo de Referência / Projeto Básico e da minuta de edital.</w:t>
      </w:r>
    </w:p>
    <w:p w14:paraId="30AB8F6C" w14:textId="77777777" w:rsidR="008379F5" w:rsidRPr="00B153C6" w:rsidRDefault="0044254E" w:rsidP="00B153C6">
      <w:pPr>
        <w:pStyle w:val="Ttulo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Informação complementar — Origem dos Recursos</w:t>
      </w:r>
    </w:p>
    <w:p w14:paraId="40A9F63B" w14:textId="7B8E4133" w:rsidR="008379F5" w:rsidRPr="00B153C6" w:rsidRDefault="0044254E" w:rsidP="00B153C6">
      <w:pPr>
        <w:spacing w:after="12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A contratação será custeada com recursos de emenda parlamentar no âmbito do Programa Requalifica UBS — Componente Reforma (Fundo Nacional de Saúde / Ministério da Saúde), proposta nº 13787.3590001/25-002, no valor de R$ 399.661,00, complementados por contrapartida municipal de R$ 20.780,02, perfazendo o total estimado de R$ 420.441,02.</w:t>
      </w:r>
    </w:p>
    <w:p w14:paraId="01B2C3D7" w14:textId="77777777" w:rsidR="008379F5" w:rsidRDefault="0044254E" w:rsidP="00B153C6">
      <w:pPr>
        <w:pStyle w:val="Ttulo1"/>
        <w:spacing w:line="360" w:lineRule="auto"/>
      </w:pPr>
      <w:r>
        <w:rPr>
          <w:sz w:val="24"/>
          <w:szCs w:val="24"/>
        </w:rPr>
        <w:t>ANÁLISE DE RISCOS</w:t>
      </w:r>
    </w:p>
    <w:p w14:paraId="01B2C3D8" w14:textId="77777777" w:rsidR="008379F5" w:rsidRDefault="0044254E" w:rsidP="00B153C6">
      <w:pPr>
        <w:spacing w:after="8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Nos termos do art. 18, §3º, da Lei nº 14.133/2021, foram identificados e analisados os riscos relevantes:</w:t>
      </w:r>
    </w:p>
    <w:p w14:paraId="01B2C3D9" w14:textId="77777777" w:rsidR="008379F5" w:rsidRDefault="0044254E" w:rsidP="00B153C6">
      <w:pPr>
        <w:pStyle w:val="PargrafodaLista"/>
        <w:numPr>
          <w:ilvl w:val="0"/>
          <w:numId w:val="2"/>
        </w:numPr>
        <w:spacing w:after="8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Risco de não obtenção de proposta competitiva (probabilidade média / impacto alto): </w:t>
      </w:r>
      <w:r>
        <w:rPr>
          <w:sz w:val="24"/>
          <w:szCs w:val="24"/>
        </w:rPr>
        <w:t>medida mitigadora: ampla divulgação do edital e prazo adequado para preparação de propostas.</w:t>
      </w:r>
    </w:p>
    <w:p w14:paraId="01B2C3DA" w14:textId="77777777" w:rsidR="008379F5" w:rsidRDefault="0044254E" w:rsidP="00B153C6">
      <w:pPr>
        <w:pStyle w:val="PargrafodaLista"/>
        <w:numPr>
          <w:ilvl w:val="0"/>
          <w:numId w:val="2"/>
        </w:numPr>
        <w:spacing w:after="8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Risco de atraso na execução (probabilidade média / impacto alto): </w:t>
      </w:r>
      <w:r>
        <w:rPr>
          <w:sz w:val="24"/>
          <w:szCs w:val="24"/>
        </w:rPr>
        <w:t>medida mitigadora: cláusula de penalidades, fiscalização sistemática e exigência de garantia contratual.</w:t>
      </w:r>
    </w:p>
    <w:p w14:paraId="01B2C3DB" w14:textId="77777777" w:rsidR="008379F5" w:rsidRDefault="0044254E" w:rsidP="00B153C6">
      <w:pPr>
        <w:pStyle w:val="PargrafodaLista"/>
        <w:numPr>
          <w:ilvl w:val="0"/>
          <w:numId w:val="2"/>
        </w:numPr>
        <w:spacing w:after="8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Risco de surgimento de serviços não previstos (probabilidade baixa / impacto médio): </w:t>
      </w:r>
      <w:r>
        <w:rPr>
          <w:sz w:val="24"/>
          <w:szCs w:val="24"/>
        </w:rPr>
        <w:t>medida mitigadora: vistoria prévia detalhada, regime de empreitada por preço unitário e reserva de contingência orçamentária.</w:t>
      </w:r>
    </w:p>
    <w:p w14:paraId="01B2C3DC" w14:textId="77777777" w:rsidR="008379F5" w:rsidRDefault="0044254E" w:rsidP="00B153C6">
      <w:pPr>
        <w:pStyle w:val="PargrafodaLista"/>
        <w:numPr>
          <w:ilvl w:val="0"/>
          <w:numId w:val="2"/>
        </w:numPr>
        <w:spacing w:after="120" w:line="36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Risco de interrupção do atendimento durante a obra (probabilidade média / impacto médio): </w:t>
      </w:r>
      <w:r>
        <w:rPr>
          <w:sz w:val="24"/>
          <w:szCs w:val="24"/>
        </w:rPr>
        <w:t>medida mitigadora: execução por setores garantindo continuidade mínima dos serviços de saúde.</w:t>
      </w:r>
    </w:p>
    <w:p w14:paraId="0CD69029" w14:textId="77777777" w:rsidR="008379F5" w:rsidRPr="00B153C6" w:rsidRDefault="0044254E" w:rsidP="00B153C6">
      <w:pPr>
        <w:spacing w:before="60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14:paraId="1E652095" w14:textId="6F4A56D5" w:rsidR="008379F5" w:rsidRPr="00B153C6" w:rsidRDefault="0044254E" w:rsidP="00B153C6">
      <w:pPr>
        <w:spacing w:line="360" w:lineRule="auto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Oscar Luiz Berti</w:t>
      </w:r>
    </w:p>
    <w:p w14:paraId="289FA3A3" w14:textId="4B274CBA" w:rsidR="008379F5" w:rsidRPr="00B153C6" w:rsidRDefault="0044254E" w:rsidP="00B153C6">
      <w:pPr>
        <w:spacing w:after="4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Engenheiro Civil — CREA-SP nº 5060260041</w:t>
      </w:r>
    </w:p>
    <w:p w14:paraId="0F555DD7" w14:textId="0F4180E6" w:rsidR="008379F5" w:rsidRPr="00B153C6" w:rsidRDefault="0044254E" w:rsidP="00B153C6">
      <w:pPr>
        <w:spacing w:after="400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Secretário Municipal de Obras</w:t>
      </w:r>
    </w:p>
    <w:p w14:paraId="58FDA85E" w14:textId="3BC017F0" w:rsidR="008379F5" w:rsidRPr="00B153C6" w:rsidRDefault="0044254E" w:rsidP="00B153C6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Rifaina/SP, </w:t>
      </w:r>
      <w:r w:rsidR="0085590D">
        <w:rPr>
          <w:sz w:val="24"/>
          <w:szCs w:val="24"/>
        </w:rPr>
        <w:t>13</w:t>
      </w:r>
      <w:r>
        <w:rPr>
          <w:sz w:val="24"/>
          <w:szCs w:val="24"/>
        </w:rPr>
        <w:t xml:space="preserve"> de </w:t>
      </w:r>
      <w:r w:rsidR="0085590D">
        <w:rPr>
          <w:sz w:val="24"/>
          <w:szCs w:val="24"/>
        </w:rPr>
        <w:t>Julho</w:t>
      </w:r>
      <w:r>
        <w:rPr>
          <w:sz w:val="24"/>
          <w:szCs w:val="24"/>
        </w:rPr>
        <w:t xml:space="preserve"> de 2026.</w:t>
      </w:r>
    </w:p>
    <w:sectPr w:rsidR="008379F5" w:rsidRPr="00B153C6">
      <w:headerReference w:type="default" r:id="rId7"/>
      <w:footerReference w:type="default" r:id="rId8"/>
      <w:pgSz w:w="12240" w:h="15840"/>
      <w:pgMar w:top="1700" w:right="1440" w:bottom="12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2A323" w14:textId="77777777" w:rsidR="00E06D81" w:rsidRDefault="00E06D81">
      <w:r>
        <w:separator/>
      </w:r>
    </w:p>
  </w:endnote>
  <w:endnote w:type="continuationSeparator" w:id="0">
    <w:p w14:paraId="6C7FFFFC" w14:textId="77777777" w:rsidR="00E06D81" w:rsidRDefault="00E06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F2EBC" w14:textId="77777777" w:rsidR="008379F5" w:rsidRDefault="0044254E">
    <w:pPr>
      <w:tabs>
        <w:tab w:val="right" w:pos="9360"/>
      </w:tabs>
      <w:spacing w:before="60"/>
    </w:pPr>
    <w:r>
      <w:rPr>
        <w:color w:val="555555"/>
        <w:sz w:val="16"/>
        <w:szCs w:val="16"/>
      </w:rPr>
      <w:t>ETP — Reforma UBS Dr. Cleomar Borges de Oliveira</w:t>
    </w:r>
    <w:r>
      <w:rPr>
        <w:color w:val="555555"/>
        <w:sz w:val="16"/>
        <w:szCs w:val="16"/>
      </w:rPr>
      <w:tab/>
      <w:t xml:space="preserve">Página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PAGE</w:instrText>
    </w:r>
    <w:r>
      <w:rPr>
        <w:color w:val="555555"/>
        <w:sz w:val="16"/>
        <w:szCs w:val="16"/>
      </w:rPr>
      <w:fldChar w:fldCharType="separate"/>
    </w:r>
    <w:r w:rsidR="00B153C6">
      <w:rPr>
        <w:noProof/>
        <w:color w:val="555555"/>
        <w:sz w:val="16"/>
        <w:szCs w:val="16"/>
      </w:rPr>
      <w:t>1</w:t>
    </w:r>
    <w:r>
      <w:rPr>
        <w:color w:val="555555"/>
        <w:sz w:val="16"/>
        <w:szCs w:val="16"/>
      </w:rPr>
      <w:fldChar w:fldCharType="end"/>
    </w:r>
    <w:r>
      <w:rPr>
        <w:color w:val="555555"/>
        <w:sz w:val="16"/>
        <w:szCs w:val="16"/>
      </w:rPr>
      <w:t xml:space="preserve"> de </w:t>
    </w:r>
    <w:r>
      <w:rPr>
        <w:color w:val="555555"/>
        <w:sz w:val="16"/>
        <w:szCs w:val="16"/>
      </w:rPr>
      <w:fldChar w:fldCharType="begin"/>
    </w:r>
    <w:r>
      <w:rPr>
        <w:color w:val="555555"/>
        <w:sz w:val="16"/>
        <w:szCs w:val="16"/>
      </w:rPr>
      <w:instrText>NUMPAGES</w:instrText>
    </w:r>
    <w:r>
      <w:rPr>
        <w:color w:val="555555"/>
        <w:sz w:val="16"/>
        <w:szCs w:val="16"/>
      </w:rPr>
      <w:fldChar w:fldCharType="separate"/>
    </w:r>
    <w:r w:rsidR="00B153C6">
      <w:rPr>
        <w:noProof/>
        <w:color w:val="555555"/>
        <w:sz w:val="16"/>
        <w:szCs w:val="16"/>
      </w:rPr>
      <w:t>2</w:t>
    </w:r>
    <w:r>
      <w:rPr>
        <w:color w:val="55555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8B4D8" w14:textId="77777777" w:rsidR="00E06D81" w:rsidRDefault="00E06D81">
      <w:r>
        <w:separator/>
      </w:r>
    </w:p>
  </w:footnote>
  <w:footnote w:type="continuationSeparator" w:id="0">
    <w:p w14:paraId="5B25E783" w14:textId="77777777" w:rsidR="00E06D81" w:rsidRDefault="00E06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B8248" w14:textId="77777777" w:rsidR="00B153C6" w:rsidRPr="00BC090E" w:rsidRDefault="00B153C6" w:rsidP="00B153C6">
    <w:pPr>
      <w:pStyle w:val="Cabealho"/>
      <w:spacing w:line="276" w:lineRule="auto"/>
      <w:jc w:val="center"/>
      <w:rPr>
        <w:b/>
        <w:bCs/>
        <w:sz w:val="32"/>
        <w:szCs w:val="32"/>
      </w:rPr>
    </w:pPr>
    <w:r w:rsidRPr="00BC090E">
      <w:rPr>
        <w:noProof/>
        <w:sz w:val="32"/>
        <w:szCs w:val="32"/>
      </w:rPr>
      <w:drawing>
        <wp:anchor distT="0" distB="0" distL="114300" distR="114300" simplePos="0" relativeHeight="251660288" behindDoc="1" locked="0" layoutInCell="1" allowOverlap="1" wp14:anchorId="39B39667" wp14:editId="399DD079">
          <wp:simplePos x="0" y="0"/>
          <wp:positionH relativeFrom="column">
            <wp:posOffset>4823460</wp:posOffset>
          </wp:positionH>
          <wp:positionV relativeFrom="paragraph">
            <wp:posOffset>19685</wp:posOffset>
          </wp:positionV>
          <wp:extent cx="1158838" cy="348342"/>
          <wp:effectExtent l="0" t="0" r="3810" b="0"/>
          <wp:wrapNone/>
          <wp:docPr id="23" name="Imagem 23" descr="C:\Users\junio\Pictures\log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unio\Pictures\logo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838" cy="3483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C090E"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765390BD" wp14:editId="7EE49A3E">
          <wp:simplePos x="0" y="0"/>
          <wp:positionH relativeFrom="leftMargin">
            <wp:posOffset>676910</wp:posOffset>
          </wp:positionH>
          <wp:positionV relativeFrom="paragraph">
            <wp:posOffset>-53023</wp:posOffset>
          </wp:positionV>
          <wp:extent cx="728980" cy="742950"/>
          <wp:effectExtent l="0" t="0" r="0" b="0"/>
          <wp:wrapNone/>
          <wp:docPr id="24" name="Imagem 24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C090E">
      <w:rPr>
        <w:b/>
        <w:bCs/>
        <w:sz w:val="32"/>
        <w:szCs w:val="32"/>
      </w:rPr>
      <w:t>PREFEITURA MUNICIPAL DE RIFAINA</w:t>
    </w:r>
  </w:p>
  <w:p w14:paraId="6FB1B156" w14:textId="77777777" w:rsidR="00B153C6" w:rsidRPr="009D2DD9" w:rsidRDefault="00B153C6" w:rsidP="00B153C6">
    <w:pPr>
      <w:pStyle w:val="Cabealho"/>
      <w:tabs>
        <w:tab w:val="center" w:pos="4537"/>
        <w:tab w:val="left" w:pos="7946"/>
      </w:tabs>
      <w:spacing w:line="276" w:lineRule="auto"/>
      <w:jc w:val="center"/>
      <w:rPr>
        <w:b/>
        <w:bCs/>
        <w:sz w:val="24"/>
        <w:szCs w:val="24"/>
      </w:rPr>
    </w:pPr>
    <w:r w:rsidRPr="009D2DD9">
      <w:rPr>
        <w:b/>
        <w:bCs/>
        <w:sz w:val="24"/>
        <w:szCs w:val="24"/>
      </w:rPr>
      <w:t>ESTADO DE SÃO PAULO</w:t>
    </w:r>
  </w:p>
  <w:p w14:paraId="0EED1E64" w14:textId="77777777" w:rsidR="00B153C6" w:rsidRDefault="00B153C6" w:rsidP="00B153C6">
    <w:pPr>
      <w:pStyle w:val="Cabealho"/>
      <w:spacing w:line="276" w:lineRule="auto"/>
      <w:jc w:val="center"/>
      <w:rPr>
        <w:b/>
        <w:bCs/>
        <w:caps/>
        <w:sz w:val="24"/>
        <w:szCs w:val="24"/>
      </w:rPr>
    </w:pPr>
    <w:r w:rsidRPr="009D2DD9">
      <w:rPr>
        <w:b/>
        <w:bCs/>
        <w:sz w:val="24"/>
        <w:szCs w:val="24"/>
      </w:rPr>
      <w:t xml:space="preserve">CNPJ 45.318.995/0001-71      </w:t>
    </w:r>
    <w:r w:rsidRPr="009D2DD9">
      <w:rPr>
        <w:b/>
        <w:bCs/>
        <w:caps/>
        <w:sz w:val="24"/>
        <w:szCs w:val="24"/>
      </w:rPr>
      <w:t>inscr. est.: isento</w:t>
    </w:r>
  </w:p>
  <w:p w14:paraId="042D468D" w14:textId="77777777" w:rsidR="008379F5" w:rsidRDefault="008379F5">
    <w:pPr>
      <w:pBdr>
        <w:bottom w:val="single" w:sz="6" w:space="1" w:color="1F3864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E66D0"/>
    <w:multiLevelType w:val="hybridMultilevel"/>
    <w:tmpl w:val="FFAC2E28"/>
    <w:lvl w:ilvl="0" w:tplc="1BEC7B10">
      <w:start w:val="1"/>
      <w:numFmt w:val="bullet"/>
      <w:lvlText w:val="•"/>
      <w:lvlJc w:val="left"/>
      <w:pPr>
        <w:ind w:left="540" w:hanging="270"/>
      </w:pPr>
    </w:lvl>
    <w:lvl w:ilvl="1" w:tplc="857AFE22">
      <w:numFmt w:val="decimal"/>
      <w:lvlText w:val=""/>
      <w:lvlJc w:val="left"/>
    </w:lvl>
    <w:lvl w:ilvl="2" w:tplc="F46EAAA8">
      <w:numFmt w:val="decimal"/>
      <w:lvlText w:val=""/>
      <w:lvlJc w:val="left"/>
    </w:lvl>
    <w:lvl w:ilvl="3" w:tplc="8D4894C6">
      <w:numFmt w:val="decimal"/>
      <w:lvlText w:val=""/>
      <w:lvlJc w:val="left"/>
    </w:lvl>
    <w:lvl w:ilvl="4" w:tplc="E43670BA">
      <w:numFmt w:val="decimal"/>
      <w:lvlText w:val=""/>
      <w:lvlJc w:val="left"/>
    </w:lvl>
    <w:lvl w:ilvl="5" w:tplc="09DA7034">
      <w:numFmt w:val="decimal"/>
      <w:lvlText w:val=""/>
      <w:lvlJc w:val="left"/>
    </w:lvl>
    <w:lvl w:ilvl="6" w:tplc="0C380B28">
      <w:numFmt w:val="decimal"/>
      <w:lvlText w:val=""/>
      <w:lvlJc w:val="left"/>
    </w:lvl>
    <w:lvl w:ilvl="7" w:tplc="56206DA0">
      <w:numFmt w:val="decimal"/>
      <w:lvlText w:val=""/>
      <w:lvlJc w:val="left"/>
    </w:lvl>
    <w:lvl w:ilvl="8" w:tplc="0772DF62">
      <w:numFmt w:val="decimal"/>
      <w:lvlText w:val=""/>
      <w:lvlJc w:val="left"/>
    </w:lvl>
  </w:abstractNum>
  <w:abstractNum w:abstractNumId="1" w15:restartNumberingAfterBreak="0">
    <w:nsid w:val="4D75434F"/>
    <w:multiLevelType w:val="hybridMultilevel"/>
    <w:tmpl w:val="D3829DA2"/>
    <w:lvl w:ilvl="0" w:tplc="B5760EA8">
      <w:start w:val="1"/>
      <w:numFmt w:val="lowerLetter"/>
      <w:lvlText w:val="%1)"/>
      <w:lvlJc w:val="left"/>
      <w:pPr>
        <w:ind w:left="540" w:hanging="270"/>
      </w:pPr>
    </w:lvl>
    <w:lvl w:ilvl="1" w:tplc="B128C5EE">
      <w:numFmt w:val="decimal"/>
      <w:lvlText w:val=""/>
      <w:lvlJc w:val="left"/>
    </w:lvl>
    <w:lvl w:ilvl="2" w:tplc="BB8433E0">
      <w:numFmt w:val="decimal"/>
      <w:lvlText w:val=""/>
      <w:lvlJc w:val="left"/>
    </w:lvl>
    <w:lvl w:ilvl="3" w:tplc="74AEB88E">
      <w:numFmt w:val="decimal"/>
      <w:lvlText w:val=""/>
      <w:lvlJc w:val="left"/>
    </w:lvl>
    <w:lvl w:ilvl="4" w:tplc="B9A6B8F8">
      <w:numFmt w:val="decimal"/>
      <w:lvlText w:val=""/>
      <w:lvlJc w:val="left"/>
    </w:lvl>
    <w:lvl w:ilvl="5" w:tplc="9B021762">
      <w:numFmt w:val="decimal"/>
      <w:lvlText w:val=""/>
      <w:lvlJc w:val="left"/>
    </w:lvl>
    <w:lvl w:ilvl="6" w:tplc="734A3F38">
      <w:numFmt w:val="decimal"/>
      <w:lvlText w:val=""/>
      <w:lvlJc w:val="left"/>
    </w:lvl>
    <w:lvl w:ilvl="7" w:tplc="A93619EA">
      <w:numFmt w:val="decimal"/>
      <w:lvlText w:val=""/>
      <w:lvlJc w:val="left"/>
    </w:lvl>
    <w:lvl w:ilvl="8" w:tplc="96D84BAE">
      <w:numFmt w:val="decimal"/>
      <w:lvlText w:val=""/>
      <w:lvlJc w:val="left"/>
    </w:lvl>
  </w:abstractNum>
  <w:abstractNum w:abstractNumId="2" w15:restartNumberingAfterBreak="0">
    <w:nsid w:val="65E722F0"/>
    <w:multiLevelType w:val="hybridMultilevel"/>
    <w:tmpl w:val="F3C2E2B0"/>
    <w:lvl w:ilvl="0" w:tplc="0B88A34C">
      <w:start w:val="1"/>
      <w:numFmt w:val="decimal"/>
      <w:lvlText w:val="%1."/>
      <w:lvlJc w:val="left"/>
      <w:pPr>
        <w:ind w:left="540" w:hanging="270"/>
      </w:pPr>
    </w:lvl>
    <w:lvl w:ilvl="1" w:tplc="3F82B43E">
      <w:numFmt w:val="decimal"/>
      <w:lvlText w:val=""/>
      <w:lvlJc w:val="left"/>
    </w:lvl>
    <w:lvl w:ilvl="2" w:tplc="410486E8">
      <w:numFmt w:val="decimal"/>
      <w:lvlText w:val=""/>
      <w:lvlJc w:val="left"/>
    </w:lvl>
    <w:lvl w:ilvl="3" w:tplc="1D547820">
      <w:numFmt w:val="decimal"/>
      <w:lvlText w:val=""/>
      <w:lvlJc w:val="left"/>
    </w:lvl>
    <w:lvl w:ilvl="4" w:tplc="FC8070AE">
      <w:numFmt w:val="decimal"/>
      <w:lvlText w:val=""/>
      <w:lvlJc w:val="left"/>
    </w:lvl>
    <w:lvl w:ilvl="5" w:tplc="272E61BE">
      <w:numFmt w:val="decimal"/>
      <w:lvlText w:val=""/>
      <w:lvlJc w:val="left"/>
    </w:lvl>
    <w:lvl w:ilvl="6" w:tplc="3266CD7E">
      <w:numFmt w:val="decimal"/>
      <w:lvlText w:val=""/>
      <w:lvlJc w:val="left"/>
    </w:lvl>
    <w:lvl w:ilvl="7" w:tplc="017649B6">
      <w:numFmt w:val="decimal"/>
      <w:lvlText w:val=""/>
      <w:lvlJc w:val="left"/>
    </w:lvl>
    <w:lvl w:ilvl="8" w:tplc="43F805D2">
      <w:numFmt w:val="decimal"/>
      <w:lvlText w:val=""/>
      <w:lvlJc w:val="left"/>
    </w:lvl>
  </w:abstractNum>
  <w:abstractNum w:abstractNumId="3" w15:restartNumberingAfterBreak="0">
    <w:nsid w:val="6C455244"/>
    <w:multiLevelType w:val="hybridMultilevel"/>
    <w:tmpl w:val="87C27DEC"/>
    <w:lvl w:ilvl="0" w:tplc="2B72277C">
      <w:start w:val="1"/>
      <w:numFmt w:val="bullet"/>
      <w:lvlText w:val="●"/>
      <w:lvlJc w:val="left"/>
      <w:pPr>
        <w:ind w:left="720" w:hanging="360"/>
      </w:pPr>
    </w:lvl>
    <w:lvl w:ilvl="1" w:tplc="05BEA426">
      <w:start w:val="1"/>
      <w:numFmt w:val="bullet"/>
      <w:lvlText w:val="○"/>
      <w:lvlJc w:val="left"/>
      <w:pPr>
        <w:ind w:left="1440" w:hanging="360"/>
      </w:pPr>
    </w:lvl>
    <w:lvl w:ilvl="2" w:tplc="B2D07A00">
      <w:start w:val="1"/>
      <w:numFmt w:val="bullet"/>
      <w:lvlText w:val="■"/>
      <w:lvlJc w:val="left"/>
      <w:pPr>
        <w:ind w:left="2160" w:hanging="360"/>
      </w:pPr>
    </w:lvl>
    <w:lvl w:ilvl="3" w:tplc="BBECE00E">
      <w:start w:val="1"/>
      <w:numFmt w:val="bullet"/>
      <w:lvlText w:val="●"/>
      <w:lvlJc w:val="left"/>
      <w:pPr>
        <w:ind w:left="2880" w:hanging="360"/>
      </w:pPr>
    </w:lvl>
    <w:lvl w:ilvl="4" w:tplc="2AFED536">
      <w:start w:val="1"/>
      <w:numFmt w:val="bullet"/>
      <w:lvlText w:val="○"/>
      <w:lvlJc w:val="left"/>
      <w:pPr>
        <w:ind w:left="3600" w:hanging="360"/>
      </w:pPr>
    </w:lvl>
    <w:lvl w:ilvl="5" w:tplc="1B02792C">
      <w:start w:val="1"/>
      <w:numFmt w:val="bullet"/>
      <w:lvlText w:val="■"/>
      <w:lvlJc w:val="left"/>
      <w:pPr>
        <w:ind w:left="4320" w:hanging="360"/>
      </w:pPr>
    </w:lvl>
    <w:lvl w:ilvl="6" w:tplc="02E4331A">
      <w:start w:val="1"/>
      <w:numFmt w:val="bullet"/>
      <w:lvlText w:val="●"/>
      <w:lvlJc w:val="left"/>
      <w:pPr>
        <w:ind w:left="5040" w:hanging="360"/>
      </w:pPr>
    </w:lvl>
    <w:lvl w:ilvl="7" w:tplc="DB56FD2C">
      <w:start w:val="1"/>
      <w:numFmt w:val="bullet"/>
      <w:lvlText w:val="●"/>
      <w:lvlJc w:val="left"/>
      <w:pPr>
        <w:ind w:left="5760" w:hanging="360"/>
      </w:pPr>
    </w:lvl>
    <w:lvl w:ilvl="8" w:tplc="0C965146">
      <w:start w:val="1"/>
      <w:numFmt w:val="bullet"/>
      <w:lvlText w:val="●"/>
      <w:lvlJc w:val="left"/>
      <w:pPr>
        <w:ind w:left="6480" w:hanging="360"/>
      </w:pPr>
    </w:lvl>
  </w:abstractNum>
  <w:num w:numId="1" w16cid:durableId="2123567101">
    <w:abstractNumId w:val="3"/>
    <w:lvlOverride w:ilvl="0">
      <w:startOverride w:val="1"/>
    </w:lvlOverride>
  </w:num>
  <w:num w:numId="2" w16cid:durableId="16983058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9F5"/>
    <w:rsid w:val="003C0B2A"/>
    <w:rsid w:val="0044254E"/>
    <w:rsid w:val="00664346"/>
    <w:rsid w:val="006A1E17"/>
    <w:rsid w:val="008379F5"/>
    <w:rsid w:val="0085590D"/>
    <w:rsid w:val="00941E36"/>
    <w:rsid w:val="00A1356A"/>
    <w:rsid w:val="00B153C6"/>
    <w:rsid w:val="00C144F6"/>
    <w:rsid w:val="00E06D81"/>
    <w:rsid w:val="00FE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EC052"/>
  <w15:docId w15:val="{408CD7CC-2B11-4A1B-9453-BC446BBA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spacing w:before="240" w:after="120"/>
      <w:outlineLvl w:val="0"/>
    </w:pPr>
    <w:rPr>
      <w:b/>
      <w:bCs/>
      <w:color w:val="1F3864"/>
      <w:sz w:val="26"/>
      <w:szCs w:val="26"/>
    </w:rPr>
  </w:style>
  <w:style w:type="paragraph" w:styleId="Ttulo2">
    <w:name w:val="heading 2"/>
    <w:uiPriority w:val="9"/>
    <w:semiHidden/>
    <w:unhideWhenUsed/>
    <w:qFormat/>
    <w:pPr>
      <w:spacing w:before="160" w:after="80"/>
      <w:outlineLvl w:val="1"/>
    </w:pPr>
    <w:rPr>
      <w:b/>
      <w:bCs/>
      <w:color w:val="2E5496"/>
      <w:sz w:val="23"/>
      <w:szCs w:val="23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iperligao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arter"/>
    <w:uiPriority w:val="99"/>
    <w:semiHidden/>
    <w:unhideWhenUsed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arter"/>
    <w:uiPriority w:val="99"/>
    <w:semiHidden/>
    <w:unhideWhenUsed/>
    <w:rPr>
      <w:sz w:val="20"/>
      <w:szCs w:val="20"/>
    </w:rPr>
  </w:style>
  <w:style w:type="character" w:customStyle="1" w:styleId="TextodenotadefimCarter">
    <w:name w:val="Texto de nota de fim Caráter"/>
    <w:link w:val="Textodenotadefim"/>
    <w:uiPriority w:val="99"/>
    <w:semiHidden/>
    <w:unhideWhenUsed/>
    <w:rPr>
      <w:sz w:val="20"/>
      <w:szCs w:val="20"/>
    </w:rPr>
  </w:style>
  <w:style w:type="paragraph" w:styleId="Cabealho">
    <w:name w:val="header"/>
    <w:basedOn w:val="Normal"/>
    <w:link w:val="CabealhoCarter"/>
    <w:unhideWhenUsed/>
    <w:rsid w:val="00B153C6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rsid w:val="00B153C6"/>
  </w:style>
  <w:style w:type="paragraph" w:styleId="Rodap">
    <w:name w:val="footer"/>
    <w:basedOn w:val="Normal"/>
    <w:link w:val="RodapCarter"/>
    <w:uiPriority w:val="99"/>
    <w:unhideWhenUsed/>
    <w:rsid w:val="00B153C6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153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1618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obras rifaina</cp:lastModifiedBy>
  <cp:revision>2</cp:revision>
  <dcterms:created xsi:type="dcterms:W3CDTF">2026-07-13T12:54:00Z</dcterms:created>
  <dcterms:modified xsi:type="dcterms:W3CDTF">2026-07-13T12:54:00Z</dcterms:modified>
</cp:coreProperties>
</file>